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20C88" w14:textId="1B3B6629" w:rsidR="00EA0286" w:rsidRPr="00EA0286" w:rsidRDefault="00EA0286" w:rsidP="003A5BF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EA0286">
        <w:rPr>
          <w:rFonts w:asciiTheme="minorHAnsi" w:hAnsiTheme="minorHAnsi" w:cstheme="minorHAnsi"/>
          <w:b/>
          <w:u w:val="single"/>
        </w:rPr>
        <w:t>Invitation</w:t>
      </w:r>
    </w:p>
    <w:p w14:paraId="50CAFF9F" w14:textId="77777777" w:rsidR="00EA0286" w:rsidRDefault="00EA0286" w:rsidP="003A5B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D4AD1DB" w14:textId="420FE5A1" w:rsidR="00484000" w:rsidRPr="003A5BF1" w:rsidRDefault="00AB0468" w:rsidP="003A5B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Full-day</w:t>
      </w:r>
      <w:r w:rsidR="00947F83" w:rsidRPr="003A5BF1">
        <w:rPr>
          <w:rFonts w:asciiTheme="minorHAnsi" w:hAnsiTheme="minorHAnsi" w:cstheme="minorHAnsi"/>
          <w:b/>
        </w:rPr>
        <w:t xml:space="preserve"> </w:t>
      </w:r>
      <w:r w:rsidR="00A003C0" w:rsidRPr="003A5BF1">
        <w:rPr>
          <w:rFonts w:asciiTheme="minorHAnsi" w:hAnsiTheme="minorHAnsi" w:cstheme="minorHAnsi"/>
          <w:b/>
        </w:rPr>
        <w:t xml:space="preserve">Hybrid </w:t>
      </w:r>
      <w:r w:rsidR="00F0264B" w:rsidRPr="003A5BF1">
        <w:rPr>
          <w:rFonts w:asciiTheme="minorHAnsi" w:hAnsiTheme="minorHAnsi" w:cstheme="minorHAnsi"/>
          <w:b/>
        </w:rPr>
        <w:t xml:space="preserve">Seminar </w:t>
      </w:r>
      <w:r w:rsidR="00947F83" w:rsidRPr="003A5BF1">
        <w:rPr>
          <w:rFonts w:asciiTheme="minorHAnsi" w:hAnsiTheme="minorHAnsi" w:cstheme="minorHAnsi"/>
          <w:b/>
        </w:rPr>
        <w:t xml:space="preserve">on </w:t>
      </w:r>
      <w:r w:rsidR="00947F83" w:rsidRPr="003A5BF1">
        <w:rPr>
          <w:rFonts w:asciiTheme="minorHAnsi" w:hAnsiTheme="minorHAnsi" w:cstheme="minorHAnsi"/>
          <w:b/>
        </w:rPr>
        <w:br/>
      </w:r>
      <w:r w:rsidR="007B4E6A" w:rsidRPr="003A5BF1">
        <w:rPr>
          <w:rFonts w:asciiTheme="minorHAnsi" w:hAnsiTheme="minorHAnsi" w:cstheme="minorHAnsi"/>
          <w:b/>
        </w:rPr>
        <w:t xml:space="preserve">TDS and TCS provisions – A </w:t>
      </w:r>
      <w:bookmarkStart w:id="0" w:name="_Hlk66545946"/>
      <w:r w:rsidR="007B4E6A" w:rsidRPr="003A5BF1">
        <w:rPr>
          <w:rFonts w:asciiTheme="minorHAnsi" w:hAnsiTheme="minorHAnsi" w:cstheme="minorHAnsi"/>
          <w:b/>
        </w:rPr>
        <w:t>360° Perspective</w:t>
      </w:r>
      <w:bookmarkEnd w:id="0"/>
    </w:p>
    <w:p w14:paraId="1DBE6B9E" w14:textId="42C31577" w:rsidR="00484000" w:rsidRDefault="00842517" w:rsidP="003A5B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3A5BF1">
        <w:rPr>
          <w:rFonts w:asciiTheme="minorHAnsi" w:hAnsiTheme="minorHAnsi" w:cstheme="minorHAnsi"/>
          <w:b/>
        </w:rPr>
        <w:t xml:space="preserve">Friday, </w:t>
      </w:r>
      <w:r w:rsidR="00F0264B" w:rsidRPr="003A5BF1">
        <w:rPr>
          <w:rFonts w:asciiTheme="minorHAnsi" w:hAnsiTheme="minorHAnsi" w:cstheme="minorHAnsi"/>
          <w:b/>
        </w:rPr>
        <w:t>May</w:t>
      </w:r>
      <w:r w:rsidR="00947F83" w:rsidRPr="003A5BF1">
        <w:rPr>
          <w:rFonts w:asciiTheme="minorHAnsi" w:hAnsiTheme="minorHAnsi" w:cstheme="minorHAnsi"/>
          <w:b/>
        </w:rPr>
        <w:t xml:space="preserve"> </w:t>
      </w:r>
      <w:r w:rsidRPr="003A5BF1">
        <w:rPr>
          <w:rFonts w:asciiTheme="minorHAnsi" w:hAnsiTheme="minorHAnsi" w:cstheme="minorHAnsi"/>
          <w:b/>
        </w:rPr>
        <w:t xml:space="preserve">20, </w:t>
      </w:r>
      <w:r w:rsidR="00947F83" w:rsidRPr="003A5BF1">
        <w:rPr>
          <w:rFonts w:asciiTheme="minorHAnsi" w:hAnsiTheme="minorHAnsi" w:cstheme="minorHAnsi"/>
          <w:b/>
        </w:rPr>
        <w:t>202</w:t>
      </w:r>
      <w:r w:rsidR="00DE1C18" w:rsidRPr="003A5BF1">
        <w:rPr>
          <w:rFonts w:asciiTheme="minorHAnsi" w:hAnsiTheme="minorHAnsi" w:cstheme="minorHAnsi"/>
          <w:b/>
        </w:rPr>
        <w:t>2</w:t>
      </w:r>
      <w:r w:rsidR="00947F83" w:rsidRPr="003A5BF1">
        <w:rPr>
          <w:rFonts w:asciiTheme="minorHAnsi" w:hAnsiTheme="minorHAnsi" w:cstheme="minorHAnsi"/>
          <w:b/>
        </w:rPr>
        <w:t xml:space="preserve"> </w:t>
      </w:r>
      <w:r w:rsidR="00EA0286">
        <w:rPr>
          <w:rFonts w:asciiTheme="minorHAnsi" w:hAnsiTheme="minorHAnsi" w:cstheme="minorHAnsi"/>
          <w:b/>
        </w:rPr>
        <w:t xml:space="preserve">from </w:t>
      </w:r>
      <w:r w:rsidRPr="003A5BF1">
        <w:rPr>
          <w:rFonts w:asciiTheme="minorHAnsi" w:hAnsiTheme="minorHAnsi" w:cstheme="minorHAnsi"/>
          <w:b/>
        </w:rPr>
        <w:t>10:</w:t>
      </w:r>
      <w:r w:rsidR="000258A5" w:rsidRPr="003A5BF1">
        <w:rPr>
          <w:rFonts w:asciiTheme="minorHAnsi" w:hAnsiTheme="minorHAnsi" w:cstheme="minorHAnsi"/>
          <w:b/>
        </w:rPr>
        <w:t>00</w:t>
      </w:r>
      <w:r w:rsidR="00947F83" w:rsidRPr="003A5BF1">
        <w:rPr>
          <w:rFonts w:asciiTheme="minorHAnsi" w:hAnsiTheme="minorHAnsi" w:cstheme="minorHAnsi"/>
          <w:b/>
        </w:rPr>
        <w:t xml:space="preserve"> </w:t>
      </w:r>
      <w:r w:rsidR="00F0264B" w:rsidRPr="003A5BF1">
        <w:rPr>
          <w:rFonts w:asciiTheme="minorHAnsi" w:hAnsiTheme="minorHAnsi" w:cstheme="minorHAnsi"/>
          <w:b/>
        </w:rPr>
        <w:t>a</w:t>
      </w:r>
      <w:r w:rsidR="00947F83" w:rsidRPr="003A5BF1">
        <w:rPr>
          <w:rFonts w:asciiTheme="minorHAnsi" w:hAnsiTheme="minorHAnsi" w:cstheme="minorHAnsi"/>
          <w:b/>
        </w:rPr>
        <w:t>m to 6</w:t>
      </w:r>
      <w:r w:rsidRPr="003A5BF1">
        <w:rPr>
          <w:rFonts w:asciiTheme="minorHAnsi" w:hAnsiTheme="minorHAnsi" w:cstheme="minorHAnsi"/>
          <w:b/>
        </w:rPr>
        <w:t>:00</w:t>
      </w:r>
      <w:r w:rsidR="00947F83" w:rsidRPr="003A5BF1">
        <w:rPr>
          <w:rFonts w:asciiTheme="minorHAnsi" w:hAnsiTheme="minorHAnsi" w:cstheme="minorHAnsi"/>
          <w:b/>
        </w:rPr>
        <w:t xml:space="preserve"> pm</w:t>
      </w:r>
    </w:p>
    <w:p w14:paraId="390122E9" w14:textId="77777777" w:rsidR="003A5BF1" w:rsidRPr="003A5BF1" w:rsidRDefault="003A5BF1" w:rsidP="003A5BF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7BA504DB" w14:textId="77777777" w:rsidR="003A5BF1" w:rsidRPr="003A5BF1" w:rsidRDefault="003A5BF1" w:rsidP="003A5BF1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</w:p>
    <w:p w14:paraId="0131EA32" w14:textId="77777777" w:rsidR="00C57ED5" w:rsidRPr="00AB0468" w:rsidRDefault="00C57ED5" w:rsidP="003A5BF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AB0468">
        <w:rPr>
          <w:rFonts w:asciiTheme="minorHAnsi" w:hAnsiTheme="minorHAnsi" w:cstheme="minorHAnsi"/>
          <w:b/>
        </w:rPr>
        <w:t>Dear Sir/Madam,</w:t>
      </w:r>
    </w:p>
    <w:p w14:paraId="04B838F4" w14:textId="77777777" w:rsidR="003A5BF1" w:rsidRPr="003A5BF1" w:rsidRDefault="003A5BF1" w:rsidP="003A5BF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97B4847" w14:textId="2A8D2451" w:rsidR="00AB0468" w:rsidRDefault="00C57ED5" w:rsidP="003A5BF1">
      <w:p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</w:rPr>
      </w:pPr>
      <w:r w:rsidRPr="003A5BF1">
        <w:rPr>
          <w:rFonts w:asciiTheme="minorHAnsi" w:hAnsiTheme="minorHAnsi" w:cstheme="minorHAnsi"/>
        </w:rPr>
        <w:t>IMC Chamber of Commerce and Industry, jointly with Bombay Chamber of Commerce and Industry</w:t>
      </w:r>
      <w:r w:rsidR="00825F99" w:rsidRPr="003A5BF1">
        <w:rPr>
          <w:rFonts w:asciiTheme="minorHAnsi" w:hAnsiTheme="minorHAnsi" w:cstheme="minorHAnsi"/>
        </w:rPr>
        <w:t xml:space="preserve">, </w:t>
      </w:r>
      <w:r w:rsidRPr="003A5BF1">
        <w:rPr>
          <w:rFonts w:asciiTheme="minorHAnsi" w:hAnsiTheme="minorHAnsi" w:cstheme="minorHAnsi"/>
        </w:rPr>
        <w:t>Bombay Chartered Accountants Society</w:t>
      </w:r>
      <w:r w:rsidR="00F0264B" w:rsidRPr="003A5BF1">
        <w:rPr>
          <w:rFonts w:asciiTheme="minorHAnsi" w:hAnsiTheme="minorHAnsi" w:cstheme="minorHAnsi"/>
        </w:rPr>
        <w:t>,</w:t>
      </w:r>
      <w:r w:rsidR="00825F99" w:rsidRPr="003A5BF1">
        <w:rPr>
          <w:rFonts w:asciiTheme="minorHAnsi" w:hAnsiTheme="minorHAnsi" w:cstheme="minorHAnsi"/>
        </w:rPr>
        <w:t xml:space="preserve"> and Chamber of Tax Consultants</w:t>
      </w:r>
      <w:r w:rsidR="00AB0468">
        <w:rPr>
          <w:rFonts w:asciiTheme="minorHAnsi" w:hAnsiTheme="minorHAnsi" w:cstheme="minorHAnsi"/>
        </w:rPr>
        <w:t xml:space="preserve"> is </w:t>
      </w:r>
      <w:r w:rsidRPr="003A5BF1">
        <w:rPr>
          <w:rFonts w:asciiTheme="minorHAnsi" w:hAnsiTheme="minorHAnsi" w:cstheme="minorHAnsi"/>
        </w:rPr>
        <w:t xml:space="preserve">organizing a </w:t>
      </w:r>
      <w:r w:rsidR="00AB0468">
        <w:rPr>
          <w:rFonts w:asciiTheme="minorHAnsi" w:hAnsiTheme="minorHAnsi" w:cstheme="minorHAnsi"/>
        </w:rPr>
        <w:t>full</w:t>
      </w:r>
      <w:r w:rsidRPr="003A5BF1">
        <w:rPr>
          <w:rFonts w:asciiTheme="minorHAnsi" w:hAnsiTheme="minorHAnsi" w:cstheme="minorHAnsi"/>
        </w:rPr>
        <w:t xml:space="preserve">-day </w:t>
      </w:r>
      <w:r w:rsidR="00842517" w:rsidRPr="003A5BF1">
        <w:rPr>
          <w:rFonts w:asciiTheme="minorHAnsi" w:hAnsiTheme="minorHAnsi" w:cstheme="minorHAnsi"/>
        </w:rPr>
        <w:t xml:space="preserve">Hybrid </w:t>
      </w:r>
      <w:r w:rsidR="00F0264B" w:rsidRPr="003A5BF1">
        <w:rPr>
          <w:rFonts w:asciiTheme="minorHAnsi" w:hAnsiTheme="minorHAnsi" w:cstheme="minorHAnsi"/>
        </w:rPr>
        <w:t>s</w:t>
      </w:r>
      <w:r w:rsidRPr="003A5BF1">
        <w:rPr>
          <w:rFonts w:asciiTheme="minorHAnsi" w:hAnsiTheme="minorHAnsi" w:cstheme="minorHAnsi"/>
        </w:rPr>
        <w:t>e</w:t>
      </w:r>
      <w:r w:rsidR="00F0264B" w:rsidRPr="003A5BF1">
        <w:rPr>
          <w:rFonts w:asciiTheme="minorHAnsi" w:hAnsiTheme="minorHAnsi" w:cstheme="minorHAnsi"/>
        </w:rPr>
        <w:t>m</w:t>
      </w:r>
      <w:r w:rsidRPr="003A5BF1">
        <w:rPr>
          <w:rFonts w:asciiTheme="minorHAnsi" w:hAnsiTheme="minorHAnsi" w:cstheme="minorHAnsi"/>
        </w:rPr>
        <w:t>inar</w:t>
      </w:r>
      <w:r w:rsidRPr="003A5BF1">
        <w:rPr>
          <w:rFonts w:asciiTheme="minorHAnsi" w:hAnsiTheme="minorHAnsi" w:cstheme="minorHAnsi"/>
          <w:b/>
          <w:bCs/>
        </w:rPr>
        <w:t xml:space="preserve"> </w:t>
      </w:r>
      <w:r w:rsidRPr="003A5BF1">
        <w:rPr>
          <w:rFonts w:asciiTheme="minorHAnsi" w:hAnsiTheme="minorHAnsi" w:cstheme="minorHAnsi"/>
        </w:rPr>
        <w:t>on</w:t>
      </w:r>
      <w:r w:rsidRPr="003A5BF1">
        <w:rPr>
          <w:rFonts w:asciiTheme="minorHAnsi" w:hAnsiTheme="minorHAnsi" w:cstheme="minorHAnsi"/>
          <w:b/>
          <w:bCs/>
        </w:rPr>
        <w:t xml:space="preserve"> “TDS and TCS </w:t>
      </w:r>
      <w:r w:rsidR="00842517" w:rsidRPr="003A5BF1">
        <w:rPr>
          <w:rFonts w:asciiTheme="minorHAnsi" w:hAnsiTheme="minorHAnsi" w:cstheme="minorHAnsi"/>
          <w:b/>
          <w:bCs/>
        </w:rPr>
        <w:t>P</w:t>
      </w:r>
      <w:r w:rsidRPr="003A5BF1">
        <w:rPr>
          <w:rFonts w:asciiTheme="minorHAnsi" w:hAnsiTheme="minorHAnsi" w:cstheme="minorHAnsi"/>
          <w:b/>
          <w:bCs/>
        </w:rPr>
        <w:t>ro</w:t>
      </w:r>
      <w:r w:rsidR="00457066">
        <w:rPr>
          <w:rFonts w:asciiTheme="minorHAnsi" w:hAnsiTheme="minorHAnsi" w:cstheme="minorHAnsi"/>
          <w:b/>
          <w:bCs/>
        </w:rPr>
        <w:t>visions – a 360° Perspective”</w:t>
      </w:r>
    </w:p>
    <w:p w14:paraId="708D62B9" w14:textId="77777777" w:rsidR="00AB0468" w:rsidRDefault="00AB0468" w:rsidP="003A5BF1">
      <w:p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</w:rPr>
      </w:pPr>
    </w:p>
    <w:p w14:paraId="6C03736D" w14:textId="0199DB63" w:rsidR="00AB0468" w:rsidRPr="00AB0468" w:rsidRDefault="00AB0468" w:rsidP="00AB0468">
      <w:pPr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Day &amp; Date</w:t>
      </w:r>
      <w:r>
        <w:rPr>
          <w:rFonts w:ascii="Calibri" w:hAnsi="Calibri" w:cs="Calibri"/>
          <w:b/>
        </w:rPr>
        <w:tab/>
        <w:t xml:space="preserve"> : Fri</w:t>
      </w:r>
      <w:r w:rsidR="00717C31">
        <w:rPr>
          <w:rFonts w:ascii="Calibri" w:hAnsi="Calibri" w:cs="Calibri"/>
          <w:b/>
        </w:rPr>
        <w:t>day, M</w:t>
      </w:r>
      <w:r>
        <w:rPr>
          <w:rFonts w:ascii="Calibri" w:hAnsi="Calibri" w:cs="Calibri"/>
          <w:b/>
        </w:rPr>
        <w:t>ay 20</w:t>
      </w:r>
      <w:r w:rsidRPr="00AB0468">
        <w:rPr>
          <w:rFonts w:ascii="Calibri" w:hAnsi="Calibri" w:cs="Calibri"/>
          <w:b/>
        </w:rPr>
        <w:t>, 2022</w:t>
      </w:r>
    </w:p>
    <w:p w14:paraId="5B70014D" w14:textId="17968C66" w:rsidR="00AB0468" w:rsidRPr="00AB0468" w:rsidRDefault="00AB0468" w:rsidP="00AB0468">
      <w:pPr>
        <w:spacing w:after="0" w:line="240" w:lineRule="auto"/>
        <w:jc w:val="both"/>
        <w:rPr>
          <w:rFonts w:ascii="Calibri" w:hAnsi="Calibri" w:cs="Calibri"/>
          <w:b/>
        </w:rPr>
      </w:pPr>
      <w:r w:rsidRPr="00AB0468">
        <w:rPr>
          <w:rFonts w:ascii="Calibri" w:hAnsi="Calibri" w:cs="Calibri"/>
          <w:b/>
        </w:rPr>
        <w:t>Time</w:t>
      </w:r>
      <w:r w:rsidRPr="00AB0468">
        <w:rPr>
          <w:rFonts w:ascii="Calibri" w:hAnsi="Calibri" w:cs="Calibri"/>
          <w:b/>
        </w:rPr>
        <w:tab/>
      </w:r>
      <w:r w:rsidRPr="00AB0468">
        <w:rPr>
          <w:rFonts w:ascii="Calibri" w:hAnsi="Calibri" w:cs="Calibri"/>
          <w:b/>
        </w:rPr>
        <w:tab/>
        <w:t xml:space="preserve"> : </w:t>
      </w:r>
      <w:r>
        <w:rPr>
          <w:rFonts w:ascii="Calibri" w:hAnsi="Calibri" w:cs="Calibri"/>
          <w:b/>
        </w:rPr>
        <w:t>10:00 a</w:t>
      </w:r>
      <w:r w:rsidRPr="00AB0468">
        <w:rPr>
          <w:rFonts w:ascii="Calibri" w:hAnsi="Calibri" w:cs="Calibri"/>
          <w:b/>
        </w:rPr>
        <w:t xml:space="preserve">m – </w:t>
      </w:r>
      <w:r>
        <w:rPr>
          <w:rFonts w:ascii="Calibri" w:hAnsi="Calibri" w:cs="Calibri"/>
          <w:b/>
        </w:rPr>
        <w:t>6</w:t>
      </w:r>
      <w:r w:rsidRPr="00AB0468">
        <w:rPr>
          <w:rFonts w:ascii="Calibri" w:hAnsi="Calibri" w:cs="Calibri"/>
          <w:b/>
        </w:rPr>
        <w:t>:00 pm</w:t>
      </w:r>
    </w:p>
    <w:p w14:paraId="72EEC59B" w14:textId="24A31595" w:rsidR="00AB0468" w:rsidRPr="00AB0468" w:rsidRDefault="00AB0468" w:rsidP="00AB0468">
      <w:pPr>
        <w:spacing w:after="0" w:line="240" w:lineRule="auto"/>
        <w:jc w:val="both"/>
        <w:rPr>
          <w:rFonts w:ascii="Calibri" w:hAnsi="Calibri" w:cs="Calibri"/>
          <w:b/>
        </w:rPr>
      </w:pPr>
      <w:r w:rsidRPr="00AB0468">
        <w:rPr>
          <w:rFonts w:ascii="Calibri" w:hAnsi="Calibri" w:cs="Calibri"/>
          <w:b/>
        </w:rPr>
        <w:t>Meeting</w:t>
      </w:r>
      <w:r w:rsidR="00976BCF">
        <w:rPr>
          <w:rFonts w:ascii="Calibri" w:hAnsi="Calibri" w:cs="Calibri"/>
          <w:b/>
        </w:rPr>
        <w:t xml:space="preserve">   </w:t>
      </w:r>
      <w:r w:rsidRPr="00AB0468">
        <w:rPr>
          <w:rFonts w:ascii="Calibri" w:hAnsi="Calibri" w:cs="Calibri"/>
          <w:b/>
        </w:rPr>
        <w:tab/>
        <w:t xml:space="preserve"> : Hybrid (Online as well as in person) </w:t>
      </w:r>
    </w:p>
    <w:p w14:paraId="4D1FB4F5" w14:textId="393D0704" w:rsidR="00AB0468" w:rsidRPr="00AB0468" w:rsidRDefault="00AB0468" w:rsidP="00AB0468">
      <w:pPr>
        <w:spacing w:after="0" w:line="240" w:lineRule="auto"/>
        <w:ind w:left="1440" w:hanging="1440"/>
        <w:jc w:val="both"/>
        <w:rPr>
          <w:rFonts w:ascii="Calibri" w:hAnsi="Calibri" w:cs="Calibri"/>
          <w:b/>
        </w:rPr>
      </w:pPr>
      <w:r w:rsidRPr="00AB0468">
        <w:rPr>
          <w:rFonts w:ascii="Calibri" w:hAnsi="Calibri" w:cs="Calibri"/>
          <w:b/>
        </w:rPr>
        <w:t>Venue for)</w:t>
      </w:r>
      <w:r w:rsidR="00976BCF">
        <w:rPr>
          <w:rFonts w:ascii="Calibri" w:hAnsi="Calibri" w:cs="Calibri"/>
          <w:b/>
        </w:rPr>
        <w:tab/>
      </w:r>
      <w:r w:rsidR="00213151">
        <w:rPr>
          <w:rFonts w:ascii="Calibri" w:hAnsi="Calibri" w:cs="Calibri"/>
          <w:b/>
        </w:rPr>
        <w:t xml:space="preserve"> </w:t>
      </w:r>
      <w:r w:rsidR="00976BCF" w:rsidRPr="00AB0468">
        <w:rPr>
          <w:rFonts w:ascii="Calibri" w:hAnsi="Calibri" w:cs="Calibri"/>
          <w:b/>
        </w:rPr>
        <w:t xml:space="preserve">: </w:t>
      </w:r>
      <w:proofErr w:type="spellStart"/>
      <w:r w:rsidR="00976BCF">
        <w:rPr>
          <w:rFonts w:ascii="Calibri" w:hAnsi="Calibri" w:cs="Calibri"/>
          <w:b/>
        </w:rPr>
        <w:t>Walchand</w:t>
      </w:r>
      <w:proofErr w:type="spellEnd"/>
      <w:r w:rsidR="00976BCF">
        <w:rPr>
          <w:rFonts w:ascii="Calibri" w:hAnsi="Calibri" w:cs="Calibri"/>
          <w:b/>
        </w:rPr>
        <w:t xml:space="preserve"> </w:t>
      </w:r>
      <w:proofErr w:type="spellStart"/>
      <w:r w:rsidR="00976BCF">
        <w:rPr>
          <w:rFonts w:ascii="Calibri" w:hAnsi="Calibri" w:cs="Calibri"/>
          <w:b/>
        </w:rPr>
        <w:t>Hirachand</w:t>
      </w:r>
      <w:proofErr w:type="spellEnd"/>
      <w:r w:rsidR="00976BCF">
        <w:rPr>
          <w:rFonts w:ascii="Calibri" w:hAnsi="Calibri" w:cs="Calibri"/>
          <w:b/>
        </w:rPr>
        <w:t xml:space="preserve"> </w:t>
      </w:r>
      <w:proofErr w:type="gramStart"/>
      <w:r w:rsidR="00976BCF">
        <w:rPr>
          <w:rFonts w:ascii="Calibri" w:hAnsi="Calibri" w:cs="Calibri"/>
          <w:b/>
        </w:rPr>
        <w:t>Hall</w:t>
      </w:r>
      <w:r w:rsidR="00976BCF">
        <w:rPr>
          <w:rFonts w:ascii="Calibri" w:hAnsi="Calibri" w:cs="Calibri"/>
          <w:b/>
          <w:color w:val="202020"/>
          <w:shd w:val="clear" w:color="auto" w:fill="FFFFFF"/>
        </w:rPr>
        <w:t>(</w:t>
      </w:r>
      <w:proofErr w:type="gramEnd"/>
      <w:r w:rsidR="00976BCF">
        <w:rPr>
          <w:rFonts w:ascii="Calibri" w:hAnsi="Calibri" w:cs="Calibri"/>
          <w:b/>
          <w:color w:val="202020"/>
          <w:shd w:val="clear" w:color="auto" w:fill="FFFFFF"/>
        </w:rPr>
        <w:t>4</w:t>
      </w:r>
      <w:r w:rsidR="00976BCF" w:rsidRPr="00AB0468">
        <w:rPr>
          <w:rFonts w:ascii="Calibri" w:hAnsi="Calibri" w:cs="Calibri"/>
          <w:b/>
          <w:color w:val="202020"/>
          <w:shd w:val="clear" w:color="auto" w:fill="FFFFFF"/>
          <w:vertAlign w:val="superscript"/>
        </w:rPr>
        <w:t>th</w:t>
      </w:r>
      <w:r w:rsidR="00976BCF" w:rsidRPr="00AB0468">
        <w:rPr>
          <w:rFonts w:ascii="Calibri" w:hAnsi="Calibri" w:cs="Calibri"/>
          <w:b/>
          <w:color w:val="202020"/>
          <w:shd w:val="clear" w:color="auto" w:fill="FFFFFF"/>
        </w:rPr>
        <w:t> Floor), IMC Building, IMC Marg</w:t>
      </w:r>
    </w:p>
    <w:p w14:paraId="490A7BBF" w14:textId="754307CE" w:rsidR="00976BCF" w:rsidRPr="00AB0468" w:rsidRDefault="00AB0468" w:rsidP="00976BCF">
      <w:pPr>
        <w:spacing w:after="0" w:line="240" w:lineRule="auto"/>
        <w:ind w:left="1440" w:hanging="14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In </w:t>
      </w:r>
      <w:proofErr w:type="gramStart"/>
      <w:r>
        <w:rPr>
          <w:rFonts w:ascii="Calibri" w:hAnsi="Calibri" w:cs="Calibri"/>
          <w:b/>
        </w:rPr>
        <w:t>person</w:t>
      </w:r>
      <w:r w:rsidRPr="00AB0468">
        <w:rPr>
          <w:rFonts w:ascii="Calibri" w:hAnsi="Calibri" w:cs="Calibri"/>
          <w:b/>
        </w:rPr>
        <w:t xml:space="preserve"> )</w:t>
      </w:r>
      <w:proofErr w:type="gramEnd"/>
      <w:r w:rsidR="00976BCF">
        <w:rPr>
          <w:rFonts w:ascii="Calibri" w:hAnsi="Calibri" w:cs="Calibri"/>
          <w:b/>
        </w:rPr>
        <w:tab/>
        <w:t xml:space="preserve">  </w:t>
      </w:r>
      <w:r w:rsidR="00213151">
        <w:rPr>
          <w:rFonts w:ascii="Calibri" w:hAnsi="Calibri" w:cs="Calibri"/>
          <w:b/>
        </w:rPr>
        <w:t xml:space="preserve"> </w:t>
      </w:r>
      <w:r w:rsidR="00976BCF" w:rsidRPr="00AB0468">
        <w:rPr>
          <w:rFonts w:ascii="Calibri" w:hAnsi="Calibri" w:cs="Calibri"/>
          <w:b/>
          <w:color w:val="202020"/>
          <w:shd w:val="clear" w:color="auto" w:fill="FFFFFF"/>
        </w:rPr>
        <w:t xml:space="preserve">Opposite </w:t>
      </w:r>
      <w:proofErr w:type="spellStart"/>
      <w:r w:rsidR="00976BCF" w:rsidRPr="00AB0468">
        <w:rPr>
          <w:rFonts w:ascii="Calibri" w:hAnsi="Calibri" w:cs="Calibri"/>
          <w:b/>
          <w:color w:val="202020"/>
          <w:shd w:val="clear" w:color="auto" w:fill="FFFFFF"/>
        </w:rPr>
        <w:t>Churchgate</w:t>
      </w:r>
      <w:proofErr w:type="spellEnd"/>
      <w:r w:rsidR="00976BCF" w:rsidRPr="00AB0468">
        <w:rPr>
          <w:rFonts w:ascii="Calibri" w:hAnsi="Calibri" w:cs="Calibri"/>
          <w:b/>
          <w:color w:val="202020"/>
          <w:shd w:val="clear" w:color="auto" w:fill="FFFFFF"/>
        </w:rPr>
        <w:t xml:space="preserve"> station, Mumbai -400020</w:t>
      </w:r>
    </w:p>
    <w:p w14:paraId="47C6AF14" w14:textId="1AFBA616" w:rsidR="00AB0468" w:rsidRDefault="00AB0468" w:rsidP="00AB0468">
      <w:pPr>
        <w:spacing w:after="0" w:line="240" w:lineRule="auto"/>
        <w:ind w:left="1440" w:hanging="1440"/>
        <w:jc w:val="both"/>
        <w:rPr>
          <w:rFonts w:ascii="Calibri" w:hAnsi="Calibri" w:cs="Calibri"/>
          <w:b/>
          <w:color w:val="202020"/>
          <w:shd w:val="clear" w:color="auto" w:fill="FFFFFF"/>
        </w:rPr>
      </w:pPr>
      <w:proofErr w:type="gramStart"/>
      <w:r w:rsidRPr="00AB0468">
        <w:rPr>
          <w:rFonts w:ascii="Calibri" w:hAnsi="Calibri" w:cs="Calibri"/>
          <w:b/>
        </w:rPr>
        <w:t>attendees</w:t>
      </w:r>
      <w:proofErr w:type="gramEnd"/>
      <w:r w:rsidRPr="00AB0468">
        <w:rPr>
          <w:rFonts w:ascii="Calibri" w:hAnsi="Calibri" w:cs="Calibri"/>
          <w:b/>
        </w:rPr>
        <w:t>)</w:t>
      </w:r>
      <w:r w:rsidRPr="00AB0468">
        <w:rPr>
          <w:rFonts w:ascii="Calibri" w:hAnsi="Calibri" w:cs="Calibri"/>
          <w:b/>
        </w:rPr>
        <w:tab/>
        <w:t xml:space="preserve"> </w:t>
      </w:r>
    </w:p>
    <w:p w14:paraId="1A034C62" w14:textId="225B5B87" w:rsidR="00AB0468" w:rsidRPr="00AB0468" w:rsidRDefault="00AB0468" w:rsidP="00AB0468">
      <w:pPr>
        <w:spacing w:after="0" w:line="240" w:lineRule="auto"/>
        <w:ind w:left="1440" w:hanging="1440"/>
        <w:jc w:val="both"/>
        <w:rPr>
          <w:rFonts w:ascii="Calibri" w:hAnsi="Calibri" w:cs="Calibri"/>
          <w:b/>
        </w:rPr>
      </w:pPr>
      <w:r w:rsidRPr="00AB0468">
        <w:rPr>
          <w:rFonts w:ascii="Calibri" w:hAnsi="Calibri" w:cs="Calibri"/>
          <w:b/>
          <w:color w:val="202020"/>
          <w:shd w:val="clear" w:color="auto" w:fill="FFFFFF"/>
        </w:rPr>
        <w:t xml:space="preserve">  </w:t>
      </w:r>
      <w:r>
        <w:rPr>
          <w:rFonts w:ascii="Calibri" w:hAnsi="Calibri" w:cs="Calibri"/>
          <w:b/>
          <w:color w:val="202020"/>
          <w:shd w:val="clear" w:color="auto" w:fill="FFFFFF"/>
        </w:rPr>
        <w:t xml:space="preserve">                            </w:t>
      </w:r>
    </w:p>
    <w:p w14:paraId="615B04AB" w14:textId="77777777" w:rsidR="00AB0468" w:rsidRDefault="00AB0468" w:rsidP="003A5BF1">
      <w:p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</w:rPr>
      </w:pPr>
    </w:p>
    <w:p w14:paraId="50F32968" w14:textId="79A792ED" w:rsidR="00C57ED5" w:rsidRDefault="00AB0468" w:rsidP="003A5BF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seminar is being organized </w:t>
      </w:r>
      <w:r w:rsidR="00C57ED5" w:rsidRPr="003A5BF1">
        <w:rPr>
          <w:rFonts w:asciiTheme="minorHAnsi" w:hAnsiTheme="minorHAnsi" w:cstheme="minorHAnsi"/>
        </w:rPr>
        <w:t xml:space="preserve">to understand the major effects of recent </w:t>
      </w:r>
      <w:r w:rsidR="00F0264B" w:rsidRPr="003A5BF1">
        <w:rPr>
          <w:rFonts w:asciiTheme="minorHAnsi" w:hAnsiTheme="minorHAnsi" w:cstheme="minorHAnsi"/>
        </w:rPr>
        <w:t xml:space="preserve">and past </w:t>
      </w:r>
      <w:r w:rsidR="00C57ED5" w:rsidRPr="003A5BF1">
        <w:rPr>
          <w:rFonts w:asciiTheme="minorHAnsi" w:hAnsiTheme="minorHAnsi" w:cstheme="minorHAnsi"/>
        </w:rPr>
        <w:t xml:space="preserve">developments and changes relating to TDS &amp; TCS in a holistic manner. </w:t>
      </w:r>
    </w:p>
    <w:p w14:paraId="2A6D91A1" w14:textId="77777777" w:rsidR="003A5BF1" w:rsidRPr="003A5BF1" w:rsidRDefault="003A5BF1" w:rsidP="003A5BF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B9C385" w14:textId="16ABCEEE" w:rsidR="00C57ED5" w:rsidRDefault="00C57ED5" w:rsidP="003A5BF1">
      <w:p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  <w:bCs w:val="0"/>
          <w:spacing w:val="6"/>
        </w:rPr>
      </w:pPr>
      <w:r w:rsidRPr="003A5BF1">
        <w:rPr>
          <w:rFonts w:asciiTheme="minorHAnsi" w:hAnsiTheme="minorHAnsi" w:cstheme="minorHAnsi"/>
        </w:rPr>
        <w:t xml:space="preserve">TDS and TCS provisions have changed and compliances have increased substantially in last few years, impacting MSMEs and other tax payers both big and small. </w:t>
      </w:r>
      <w:r w:rsidRPr="003A5BF1">
        <w:rPr>
          <w:rStyle w:val="Strong"/>
          <w:rFonts w:asciiTheme="minorHAnsi" w:hAnsiTheme="minorHAnsi" w:cstheme="minorHAnsi"/>
          <w:spacing w:val="6"/>
        </w:rPr>
        <w:t xml:space="preserve">These compliances have become an onerous task with serious repercussions. </w:t>
      </w:r>
      <w:r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The consequences of non-compliance or compliance with errors are substantial.</w:t>
      </w:r>
      <w:r w:rsidRPr="003A5BF1">
        <w:rPr>
          <w:rStyle w:val="Strong"/>
          <w:rFonts w:asciiTheme="minorHAnsi" w:hAnsiTheme="minorHAnsi" w:cstheme="minorHAnsi"/>
          <w:spacing w:val="6"/>
        </w:rPr>
        <w:t xml:space="preserve"> </w:t>
      </w:r>
      <w:r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 xml:space="preserve">The </w:t>
      </w:r>
      <w:r w:rsidR="005C29DA"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s</w:t>
      </w:r>
      <w:r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e</w:t>
      </w:r>
      <w:r w:rsidR="005C29DA"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m</w:t>
      </w:r>
      <w:r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inar will cover all important and current topics to be dealt with by subject experts and industry representati</w:t>
      </w:r>
      <w:bookmarkStart w:id="1" w:name="_GoBack"/>
      <w:bookmarkEnd w:id="1"/>
      <w:r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ves through a blend of panel discussions and presentation session.</w:t>
      </w:r>
    </w:p>
    <w:p w14:paraId="48788EAD" w14:textId="77777777" w:rsidR="003A5BF1" w:rsidRPr="003A5BF1" w:rsidRDefault="003A5BF1" w:rsidP="003A5BF1">
      <w:p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  <w:bCs w:val="0"/>
          <w:spacing w:val="6"/>
        </w:rPr>
      </w:pPr>
    </w:p>
    <w:p w14:paraId="17AC3301" w14:textId="6798A919" w:rsidR="00C57ED5" w:rsidRPr="003A5BF1" w:rsidRDefault="00C57ED5" w:rsidP="003A5BF1">
      <w:pPr>
        <w:spacing w:after="0" w:line="240" w:lineRule="auto"/>
        <w:jc w:val="both"/>
        <w:rPr>
          <w:rStyle w:val="Strong"/>
          <w:rFonts w:asciiTheme="minorHAnsi" w:hAnsiTheme="minorHAnsi" w:cstheme="minorHAnsi"/>
          <w:b w:val="0"/>
          <w:bCs w:val="0"/>
          <w:spacing w:val="6"/>
        </w:rPr>
      </w:pPr>
      <w:r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 xml:space="preserve">The </w:t>
      </w:r>
      <w:r w:rsidR="0084582D"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 xml:space="preserve">seminar will be </w:t>
      </w:r>
      <w:r w:rsidR="00F324C7"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in a Panel Discussion format where the topics will be discussed in detail by the Industry Experts and Professionals.</w:t>
      </w:r>
      <w:r w:rsidR="0084582D"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 xml:space="preserve"> </w:t>
      </w:r>
      <w:r w:rsidR="00DD22CA"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 xml:space="preserve">It </w:t>
      </w:r>
      <w:r w:rsidRPr="003A5BF1">
        <w:rPr>
          <w:rStyle w:val="Strong"/>
          <w:rFonts w:asciiTheme="minorHAnsi" w:hAnsiTheme="minorHAnsi" w:cstheme="minorHAnsi"/>
          <w:b w:val="0"/>
          <w:bCs w:val="0"/>
          <w:spacing w:val="6"/>
        </w:rPr>
        <w:t>will be useful for Tax Managers, Tax Heads, CFOs, Tax Consultants, Tax Practitioners and others keen to keep abreast with the rapid changes in TDS and TCS Provisions.</w:t>
      </w:r>
    </w:p>
    <w:p w14:paraId="2D3342F3" w14:textId="6EEB819F" w:rsidR="00484000" w:rsidRDefault="00DE1C18" w:rsidP="003A5BF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3A5BF1">
        <w:rPr>
          <w:rFonts w:asciiTheme="minorHAnsi" w:hAnsiTheme="minorHAnsi" w:cstheme="minorHAnsi"/>
          <w:b/>
          <w:u w:val="single"/>
        </w:rPr>
        <w:t xml:space="preserve">May </w:t>
      </w:r>
      <w:r w:rsidR="00842517" w:rsidRPr="003A5BF1">
        <w:rPr>
          <w:rFonts w:asciiTheme="minorHAnsi" w:hAnsiTheme="minorHAnsi" w:cstheme="minorHAnsi"/>
          <w:b/>
          <w:u w:val="single"/>
        </w:rPr>
        <w:t>20, 20</w:t>
      </w:r>
      <w:r w:rsidR="00C57ED5" w:rsidRPr="003A5BF1">
        <w:rPr>
          <w:rFonts w:asciiTheme="minorHAnsi" w:hAnsiTheme="minorHAnsi" w:cstheme="minorHAnsi"/>
          <w:b/>
          <w:u w:val="single"/>
        </w:rPr>
        <w:t>2</w:t>
      </w:r>
      <w:r w:rsidRPr="003A5BF1">
        <w:rPr>
          <w:rFonts w:asciiTheme="minorHAnsi" w:hAnsiTheme="minorHAnsi" w:cstheme="minorHAnsi"/>
          <w:b/>
          <w:u w:val="single"/>
        </w:rPr>
        <w:t>2</w:t>
      </w:r>
    </w:p>
    <w:p w14:paraId="3DCB5200" w14:textId="77777777" w:rsidR="00D41A79" w:rsidRPr="003A5BF1" w:rsidRDefault="00D41A79" w:rsidP="003A5BF1">
      <w:pPr>
        <w:spacing w:after="0" w:line="240" w:lineRule="auto"/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Style w:val="a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7403"/>
        <w:gridCol w:w="1558"/>
      </w:tblGrid>
      <w:tr w:rsidR="00C57ED5" w:rsidRPr="003A5BF1" w14:paraId="3B574E8B" w14:textId="77777777" w:rsidTr="00C57ED5">
        <w:tc>
          <w:tcPr>
            <w:tcW w:w="814" w:type="dxa"/>
          </w:tcPr>
          <w:p w14:paraId="229C20BF" w14:textId="77777777" w:rsidR="00C57ED5" w:rsidRPr="003A5BF1" w:rsidRDefault="00C57ED5" w:rsidP="003A5BF1">
            <w:pPr>
              <w:rPr>
                <w:rFonts w:asciiTheme="minorHAnsi" w:hAnsiTheme="minorHAnsi" w:cstheme="minorHAnsi"/>
                <w:b/>
              </w:rPr>
            </w:pPr>
            <w:r w:rsidRPr="003A5BF1">
              <w:rPr>
                <w:rFonts w:asciiTheme="minorHAnsi" w:hAnsiTheme="minorHAnsi" w:cstheme="minorHAnsi"/>
                <w:b/>
              </w:rPr>
              <w:t>Sr. No.</w:t>
            </w:r>
          </w:p>
        </w:tc>
        <w:tc>
          <w:tcPr>
            <w:tcW w:w="7403" w:type="dxa"/>
          </w:tcPr>
          <w:p w14:paraId="5AA10944" w14:textId="77777777" w:rsidR="00C57ED5" w:rsidRPr="003A5BF1" w:rsidRDefault="00C57ED5" w:rsidP="003A5BF1">
            <w:pPr>
              <w:rPr>
                <w:rFonts w:asciiTheme="minorHAnsi" w:hAnsiTheme="minorHAnsi" w:cstheme="minorHAnsi"/>
                <w:b/>
              </w:rPr>
            </w:pPr>
            <w:r w:rsidRPr="003A5BF1">
              <w:rPr>
                <w:rFonts w:asciiTheme="minorHAnsi" w:hAnsiTheme="minorHAnsi" w:cstheme="minorHAnsi"/>
                <w:b/>
              </w:rPr>
              <w:t>Topic</w:t>
            </w:r>
          </w:p>
        </w:tc>
        <w:tc>
          <w:tcPr>
            <w:tcW w:w="1558" w:type="dxa"/>
          </w:tcPr>
          <w:p w14:paraId="21A112B4" w14:textId="77777777" w:rsidR="00C57ED5" w:rsidRPr="003A5BF1" w:rsidRDefault="00C57ED5" w:rsidP="003A5BF1">
            <w:pPr>
              <w:rPr>
                <w:rFonts w:asciiTheme="minorHAnsi" w:hAnsiTheme="minorHAnsi" w:cstheme="minorHAnsi"/>
                <w:b/>
              </w:rPr>
            </w:pPr>
            <w:r w:rsidRPr="003A5BF1">
              <w:rPr>
                <w:rFonts w:asciiTheme="minorHAnsi" w:hAnsiTheme="minorHAnsi" w:cstheme="minorHAnsi"/>
                <w:b/>
              </w:rPr>
              <w:t>Timing</w:t>
            </w:r>
          </w:p>
        </w:tc>
      </w:tr>
      <w:tr w:rsidR="00584250" w:rsidRPr="003A5BF1" w14:paraId="03967A7A" w14:textId="77777777" w:rsidTr="009C3AAA">
        <w:tc>
          <w:tcPr>
            <w:tcW w:w="9775" w:type="dxa"/>
            <w:gridSpan w:val="3"/>
          </w:tcPr>
          <w:p w14:paraId="3843295C" w14:textId="26DA9D9D" w:rsidR="00584250" w:rsidRPr="003A5BF1" w:rsidRDefault="00584250" w:rsidP="003A5BF1">
            <w:pPr>
              <w:jc w:val="center"/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 xml:space="preserve">Registration – </w:t>
            </w:r>
            <w:r w:rsidR="00842517" w:rsidRPr="003A5BF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9:30 am to 10:00 am</w:t>
            </w:r>
          </w:p>
        </w:tc>
      </w:tr>
      <w:tr w:rsidR="00842517" w:rsidRPr="003A5BF1" w14:paraId="60835EF6" w14:textId="77777777" w:rsidTr="00C57ED5">
        <w:tc>
          <w:tcPr>
            <w:tcW w:w="814" w:type="dxa"/>
          </w:tcPr>
          <w:p w14:paraId="1F6D0B75" w14:textId="77777777" w:rsidR="00842517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403" w:type="dxa"/>
          </w:tcPr>
          <w:p w14:paraId="355D3CA1" w14:textId="77777777" w:rsidR="00842517" w:rsidRPr="003A5BF1" w:rsidRDefault="00842517" w:rsidP="003A5BF1">
            <w:pPr>
              <w:rPr>
                <w:rFonts w:asciiTheme="minorHAnsi" w:hAnsiTheme="minorHAnsi" w:cstheme="minorHAnsi"/>
                <w:b/>
                <w:bCs/>
              </w:rPr>
            </w:pPr>
            <w:r w:rsidRPr="003A5BF1">
              <w:rPr>
                <w:rFonts w:asciiTheme="minorHAnsi" w:hAnsiTheme="minorHAnsi" w:cstheme="minorHAnsi"/>
                <w:b/>
                <w:bCs/>
              </w:rPr>
              <w:t>Inaugural &amp; Opening Remarks</w:t>
            </w:r>
          </w:p>
        </w:tc>
        <w:tc>
          <w:tcPr>
            <w:tcW w:w="1558" w:type="dxa"/>
          </w:tcPr>
          <w:p w14:paraId="72E5448A" w14:textId="1981EA44" w:rsidR="00842517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>10:00 am to 10:15 am</w:t>
            </w:r>
          </w:p>
        </w:tc>
      </w:tr>
      <w:tr w:rsidR="00842517" w:rsidRPr="003A5BF1" w14:paraId="03DA8908" w14:textId="77777777" w:rsidTr="00C57ED5">
        <w:tc>
          <w:tcPr>
            <w:tcW w:w="814" w:type="dxa"/>
          </w:tcPr>
          <w:p w14:paraId="0577E33C" w14:textId="549838DC" w:rsidR="00842517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403" w:type="dxa"/>
          </w:tcPr>
          <w:p w14:paraId="63552174" w14:textId="240080CF" w:rsidR="00842517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  <w:b/>
                <w:bCs/>
              </w:rPr>
              <w:t>Practical issues:</w:t>
            </w:r>
            <w:r w:rsidRPr="003A5BF1">
              <w:rPr>
                <w:rFonts w:asciiTheme="minorHAnsi" w:hAnsiTheme="minorHAnsi" w:cstheme="minorHAnsi"/>
              </w:rPr>
              <w:t xml:space="preserve"> TDS and TCS issues faced by taxpayers in relation to TDS on Purchase of Goods, TCS on Sale of Goods and TDS provisions on e-commerce transactions.</w:t>
            </w:r>
          </w:p>
        </w:tc>
        <w:tc>
          <w:tcPr>
            <w:tcW w:w="1558" w:type="dxa"/>
          </w:tcPr>
          <w:p w14:paraId="61FEC1DA" w14:textId="77777777" w:rsidR="00842517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 xml:space="preserve">10:15 am to </w:t>
            </w:r>
          </w:p>
          <w:p w14:paraId="45FFDD53" w14:textId="055FADCD" w:rsidR="00842517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>12:00 Noon</w:t>
            </w:r>
          </w:p>
        </w:tc>
      </w:tr>
      <w:tr w:rsidR="00294338" w:rsidRPr="003A5BF1" w14:paraId="2722D280" w14:textId="77777777" w:rsidTr="00BB3D89">
        <w:tc>
          <w:tcPr>
            <w:tcW w:w="9775" w:type="dxa"/>
            <w:gridSpan w:val="3"/>
          </w:tcPr>
          <w:p w14:paraId="565F7546" w14:textId="4BE64C12" w:rsidR="00294338" w:rsidRPr="003A5BF1" w:rsidRDefault="00294338" w:rsidP="003A5BF1">
            <w:pPr>
              <w:jc w:val="center"/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 xml:space="preserve">Tea Break – </w:t>
            </w:r>
            <w:r w:rsidR="00842517" w:rsidRPr="003A5BF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12:00-12:15 pm</w:t>
            </w:r>
          </w:p>
        </w:tc>
      </w:tr>
      <w:tr w:rsidR="00C57ED5" w:rsidRPr="003A5BF1" w14:paraId="68D88CF2" w14:textId="77777777" w:rsidTr="00C57ED5">
        <w:tc>
          <w:tcPr>
            <w:tcW w:w="814" w:type="dxa"/>
          </w:tcPr>
          <w:p w14:paraId="71C79D25" w14:textId="5B2FC0D7" w:rsidR="00C57ED5" w:rsidRPr="003A5BF1" w:rsidRDefault="00C57ED5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403" w:type="dxa"/>
          </w:tcPr>
          <w:p w14:paraId="11E478D9" w14:textId="19577877" w:rsidR="00C57ED5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  <w:b/>
                <w:color w:val="000000" w:themeColor="text1"/>
              </w:rPr>
              <w:t>Practical issues</w:t>
            </w:r>
            <w:r w:rsidRPr="003A5BF1">
              <w:rPr>
                <w:rFonts w:asciiTheme="minorHAnsi" w:hAnsiTheme="minorHAnsi" w:cstheme="minorHAnsi"/>
                <w:color w:val="000000" w:themeColor="text1"/>
              </w:rPr>
              <w:t xml:space="preserve"> related with TDS u/s. 195 from payments to non-residents.</w:t>
            </w:r>
          </w:p>
        </w:tc>
        <w:tc>
          <w:tcPr>
            <w:tcW w:w="1558" w:type="dxa"/>
          </w:tcPr>
          <w:p w14:paraId="4C18A757" w14:textId="0F234324" w:rsidR="00C57ED5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  <w:color w:val="000000" w:themeColor="text1"/>
              </w:rPr>
              <w:t>12:15 pm to 1:30 pm</w:t>
            </w:r>
          </w:p>
        </w:tc>
      </w:tr>
      <w:tr w:rsidR="00294338" w:rsidRPr="003A5BF1" w14:paraId="29AD9D27" w14:textId="77777777" w:rsidTr="00FC1FB5">
        <w:tc>
          <w:tcPr>
            <w:tcW w:w="9775" w:type="dxa"/>
            <w:gridSpan w:val="3"/>
          </w:tcPr>
          <w:p w14:paraId="228028E5" w14:textId="65493A97" w:rsidR="00294338" w:rsidRPr="003A5BF1" w:rsidRDefault="00294338" w:rsidP="003A5BF1">
            <w:pPr>
              <w:jc w:val="center"/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 xml:space="preserve">Lunch Break – </w:t>
            </w:r>
            <w:r w:rsidR="00842517" w:rsidRPr="003A5BF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1:30 pm to 2:15 pm</w:t>
            </w:r>
          </w:p>
        </w:tc>
      </w:tr>
      <w:tr w:rsidR="00294338" w:rsidRPr="003A5BF1" w14:paraId="3CBA30EA" w14:textId="77777777" w:rsidTr="00C57ED5">
        <w:tc>
          <w:tcPr>
            <w:tcW w:w="814" w:type="dxa"/>
          </w:tcPr>
          <w:p w14:paraId="62C2778F" w14:textId="0D94B5A0" w:rsidR="00294338" w:rsidRPr="003A5BF1" w:rsidRDefault="00294338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403" w:type="dxa"/>
          </w:tcPr>
          <w:p w14:paraId="59718748" w14:textId="00133399" w:rsidR="00294338" w:rsidRPr="003A5BF1" w:rsidRDefault="00842517" w:rsidP="003A5BF1">
            <w:pPr>
              <w:rPr>
                <w:rFonts w:asciiTheme="minorHAnsi" w:hAnsiTheme="minorHAnsi" w:cstheme="minorHAnsi"/>
                <w:b/>
              </w:rPr>
            </w:pPr>
            <w:r w:rsidRPr="003A5BF1">
              <w:rPr>
                <w:rFonts w:asciiTheme="minorHAnsi" w:hAnsiTheme="minorHAnsi" w:cstheme="minorHAnsi"/>
                <w:b/>
                <w:color w:val="000000" w:themeColor="text1"/>
              </w:rPr>
              <w:t xml:space="preserve">Practical issues </w:t>
            </w:r>
            <w:r w:rsidRPr="003A5BF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arising on account of introduction of </w:t>
            </w:r>
            <w:r w:rsidRPr="003A5BF1">
              <w:rPr>
                <w:rFonts w:asciiTheme="minorHAnsi" w:hAnsiTheme="minorHAnsi" w:cstheme="minorHAnsi"/>
                <w:color w:val="000000" w:themeColor="text1"/>
              </w:rPr>
              <w:t xml:space="preserve">TDS on perquisites under </w:t>
            </w:r>
            <w:r w:rsidRPr="003A5BF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section 194R and TDS on Virtual Digital Assets under section 194S by Finance Act 2022.  </w:t>
            </w:r>
          </w:p>
        </w:tc>
        <w:tc>
          <w:tcPr>
            <w:tcW w:w="1558" w:type="dxa"/>
          </w:tcPr>
          <w:p w14:paraId="735FC94B" w14:textId="60EF8D63" w:rsidR="00294338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  <w:color w:val="000000" w:themeColor="text1"/>
              </w:rPr>
              <w:t>2:15 pm to 4:00 pm</w:t>
            </w:r>
          </w:p>
        </w:tc>
      </w:tr>
      <w:tr w:rsidR="00294338" w:rsidRPr="003A5BF1" w14:paraId="6174729B" w14:textId="77777777" w:rsidTr="00F11468">
        <w:tc>
          <w:tcPr>
            <w:tcW w:w="9775" w:type="dxa"/>
            <w:gridSpan w:val="3"/>
          </w:tcPr>
          <w:p w14:paraId="7F61AE9B" w14:textId="2DCF8709" w:rsidR="00294338" w:rsidRPr="003A5BF1" w:rsidRDefault="00294338" w:rsidP="003A5BF1">
            <w:pPr>
              <w:jc w:val="center"/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 xml:space="preserve">Tea Break – </w:t>
            </w:r>
            <w:r w:rsidR="00842517" w:rsidRPr="003A5BF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4:00 pm to 4:15 pm</w:t>
            </w:r>
          </w:p>
        </w:tc>
      </w:tr>
      <w:tr w:rsidR="00294338" w:rsidRPr="003A5BF1" w14:paraId="4E0F4FC0" w14:textId="77777777" w:rsidTr="00C57ED5">
        <w:tc>
          <w:tcPr>
            <w:tcW w:w="814" w:type="dxa"/>
          </w:tcPr>
          <w:p w14:paraId="6256BC45" w14:textId="493D6116" w:rsidR="00294338" w:rsidRPr="003A5BF1" w:rsidRDefault="00294338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lastRenderedPageBreak/>
              <w:t>5.</w:t>
            </w:r>
          </w:p>
        </w:tc>
        <w:tc>
          <w:tcPr>
            <w:tcW w:w="7403" w:type="dxa"/>
          </w:tcPr>
          <w:p w14:paraId="66BD2E88" w14:textId="77777777" w:rsidR="00842517" w:rsidRPr="003A5BF1" w:rsidRDefault="00842517" w:rsidP="003A5BF1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3A5BF1">
              <w:rPr>
                <w:rFonts w:asciiTheme="minorHAnsi" w:hAnsiTheme="minorHAnsi" w:cstheme="minorHAnsi"/>
                <w:b/>
                <w:color w:val="000000" w:themeColor="text1"/>
              </w:rPr>
              <w:t xml:space="preserve">Practical issues: </w:t>
            </w:r>
            <w:r w:rsidRPr="003A5BF1">
              <w:rPr>
                <w:rFonts w:asciiTheme="minorHAnsi" w:hAnsiTheme="minorHAnsi" w:cstheme="minorHAnsi"/>
                <w:color w:val="000000" w:themeColor="text1"/>
              </w:rPr>
              <w:t>Non-filers</w:t>
            </w:r>
            <w:r w:rsidRPr="003A5B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5BF1">
              <w:rPr>
                <w:rFonts w:asciiTheme="minorHAnsi" w:hAnsiTheme="minorHAnsi" w:cstheme="minorHAnsi"/>
                <w:color w:val="000000" w:themeColor="text1"/>
              </w:rPr>
              <w:t>checking,</w:t>
            </w:r>
            <w:r w:rsidRPr="003A5BF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3A5BF1">
              <w:rPr>
                <w:rFonts w:asciiTheme="minorHAnsi" w:hAnsiTheme="minorHAnsi" w:cstheme="minorHAnsi"/>
                <w:color w:val="000000" w:themeColor="text1"/>
              </w:rPr>
              <w:t>Lower deduction of tax; Rectifications of returns filed; Excess deduction – refund; Penal provision and compounding of offences; Belated filing of returns/ belated payment of taxes; Interest u/s 201 and 201(1A); Mechanism for Clarifications; etc.</w:t>
            </w:r>
          </w:p>
          <w:p w14:paraId="34817F28" w14:textId="38B7301A" w:rsidR="00294338" w:rsidRPr="003A5BF1" w:rsidRDefault="00294338" w:rsidP="003A5BF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8" w:type="dxa"/>
          </w:tcPr>
          <w:p w14:paraId="66F7DE12" w14:textId="454C32D2" w:rsidR="00294338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  <w:color w:val="000000" w:themeColor="text1"/>
              </w:rPr>
              <w:t>4:15 pm to 5:45 pm</w:t>
            </w:r>
          </w:p>
        </w:tc>
      </w:tr>
      <w:tr w:rsidR="00572F9B" w:rsidRPr="003A5BF1" w14:paraId="3CFD4319" w14:textId="77777777" w:rsidTr="00C57ED5">
        <w:tc>
          <w:tcPr>
            <w:tcW w:w="814" w:type="dxa"/>
          </w:tcPr>
          <w:p w14:paraId="0ECDA66E" w14:textId="428DB198" w:rsidR="00572F9B" w:rsidRPr="003A5BF1" w:rsidRDefault="00572F9B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403" w:type="dxa"/>
          </w:tcPr>
          <w:p w14:paraId="027684C9" w14:textId="2E20BB39" w:rsidR="00572F9B" w:rsidRPr="003A5BF1" w:rsidRDefault="00572F9B" w:rsidP="003A5BF1">
            <w:pPr>
              <w:rPr>
                <w:rFonts w:asciiTheme="minorHAnsi" w:hAnsiTheme="minorHAnsi" w:cstheme="minorHAnsi"/>
                <w:b/>
              </w:rPr>
            </w:pPr>
            <w:r w:rsidRPr="003A5BF1">
              <w:rPr>
                <w:rFonts w:asciiTheme="minorHAnsi" w:hAnsiTheme="minorHAnsi" w:cstheme="minorHAnsi"/>
                <w:b/>
              </w:rPr>
              <w:t>Concluding Remarks</w:t>
            </w:r>
          </w:p>
        </w:tc>
        <w:tc>
          <w:tcPr>
            <w:tcW w:w="1558" w:type="dxa"/>
          </w:tcPr>
          <w:p w14:paraId="17D0B6B0" w14:textId="588102D8" w:rsidR="00572F9B" w:rsidRPr="003A5BF1" w:rsidRDefault="00842517" w:rsidP="003A5BF1">
            <w:pPr>
              <w:rPr>
                <w:rFonts w:asciiTheme="minorHAnsi" w:hAnsiTheme="minorHAnsi" w:cstheme="minorHAnsi"/>
              </w:rPr>
            </w:pPr>
            <w:r w:rsidRPr="003A5BF1">
              <w:rPr>
                <w:rFonts w:asciiTheme="minorHAnsi" w:hAnsiTheme="minorHAnsi" w:cstheme="minorHAnsi"/>
                <w:color w:val="000000" w:themeColor="text1"/>
              </w:rPr>
              <w:t>5:45 pm to 6:00 pm</w:t>
            </w:r>
          </w:p>
        </w:tc>
      </w:tr>
    </w:tbl>
    <w:p w14:paraId="371E8E7B" w14:textId="77777777" w:rsidR="00C57ED5" w:rsidRPr="003A5BF1" w:rsidRDefault="00C57ED5" w:rsidP="003A5BF1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</w:p>
    <w:p w14:paraId="035F6013" w14:textId="296BDE06" w:rsidR="00D748D0" w:rsidRDefault="00D748D0" w:rsidP="003A5BF1">
      <w:pPr>
        <w:spacing w:after="0" w:line="240" w:lineRule="auto"/>
        <w:jc w:val="both"/>
        <w:rPr>
          <w:rFonts w:asciiTheme="minorHAnsi" w:hAnsiTheme="minorHAnsi" w:cstheme="minorHAnsi"/>
          <w:iCs/>
        </w:rPr>
      </w:pPr>
      <w:r w:rsidRPr="003A5BF1">
        <w:rPr>
          <w:rFonts w:asciiTheme="minorHAnsi" w:hAnsiTheme="minorHAnsi" w:cstheme="minorHAnsi"/>
          <w:iCs/>
        </w:rPr>
        <w:t>In view of the importance of the topic and its overall impact on taxpayers, we hope you wo</w:t>
      </w:r>
      <w:r w:rsidR="00842517" w:rsidRPr="003A5BF1">
        <w:rPr>
          <w:rFonts w:asciiTheme="minorHAnsi" w:hAnsiTheme="minorHAnsi" w:cstheme="minorHAnsi"/>
          <w:iCs/>
        </w:rPr>
        <w:t>uld surely like to attend this s</w:t>
      </w:r>
      <w:r w:rsidRPr="003A5BF1">
        <w:rPr>
          <w:rFonts w:asciiTheme="minorHAnsi" w:hAnsiTheme="minorHAnsi" w:cstheme="minorHAnsi"/>
          <w:iCs/>
        </w:rPr>
        <w:t>e</w:t>
      </w:r>
      <w:r w:rsidR="00842517" w:rsidRPr="003A5BF1">
        <w:rPr>
          <w:rFonts w:asciiTheme="minorHAnsi" w:hAnsiTheme="minorHAnsi" w:cstheme="minorHAnsi"/>
          <w:iCs/>
        </w:rPr>
        <w:t>m</w:t>
      </w:r>
      <w:r w:rsidRPr="003A5BF1">
        <w:rPr>
          <w:rFonts w:asciiTheme="minorHAnsi" w:hAnsiTheme="minorHAnsi" w:cstheme="minorHAnsi"/>
          <w:iCs/>
        </w:rPr>
        <w:t xml:space="preserve">inar and get more clarifications on related TDS and TCS provisions. </w:t>
      </w:r>
    </w:p>
    <w:p w14:paraId="54065DBC" w14:textId="77777777" w:rsidR="003A5BF1" w:rsidRPr="003A5BF1" w:rsidRDefault="003A5BF1" w:rsidP="003A5BF1">
      <w:pPr>
        <w:spacing w:after="0" w:line="240" w:lineRule="auto"/>
        <w:jc w:val="both"/>
        <w:rPr>
          <w:rFonts w:asciiTheme="minorHAnsi" w:hAnsiTheme="minorHAnsi" w:cstheme="minorHAnsi"/>
          <w:iCs/>
        </w:rPr>
      </w:pPr>
    </w:p>
    <w:p w14:paraId="63F4B04B" w14:textId="77777777" w:rsidR="00D74F18" w:rsidRDefault="00D748D0" w:rsidP="003A5BF1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3A5BF1">
        <w:rPr>
          <w:rFonts w:asciiTheme="minorHAnsi" w:hAnsiTheme="minorHAnsi" w:cstheme="minorHAnsi"/>
          <w:b/>
          <w:bCs/>
          <w:iCs/>
        </w:rPr>
        <w:t xml:space="preserve">Registration Fee: </w:t>
      </w:r>
    </w:p>
    <w:p w14:paraId="1346DBCD" w14:textId="77777777" w:rsidR="003A5BF1" w:rsidRPr="003A5BF1" w:rsidRDefault="003A5BF1" w:rsidP="003A5BF1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6BA5356E" w14:textId="25DF59CA" w:rsidR="00D748D0" w:rsidRPr="003A5BF1" w:rsidRDefault="00D74F18" w:rsidP="003A5BF1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3A5BF1">
        <w:rPr>
          <w:rFonts w:asciiTheme="minorHAnsi" w:hAnsiTheme="minorHAnsi" w:cstheme="minorHAnsi"/>
          <w:b/>
          <w:bCs/>
          <w:iCs/>
        </w:rPr>
        <w:t xml:space="preserve">Offline seminar (incl. food) - </w:t>
      </w:r>
      <w:proofErr w:type="spellStart"/>
      <w:r w:rsidR="00D748D0" w:rsidRPr="003A5BF1">
        <w:rPr>
          <w:rFonts w:asciiTheme="minorHAnsi" w:hAnsiTheme="minorHAnsi" w:cstheme="minorHAnsi"/>
          <w:b/>
          <w:bCs/>
          <w:iCs/>
        </w:rPr>
        <w:t>Rs</w:t>
      </w:r>
      <w:proofErr w:type="spellEnd"/>
      <w:r w:rsidR="00D748D0" w:rsidRPr="003A5BF1">
        <w:rPr>
          <w:rFonts w:asciiTheme="minorHAnsi" w:hAnsiTheme="minorHAnsi" w:cstheme="minorHAnsi"/>
          <w:b/>
          <w:bCs/>
          <w:iCs/>
        </w:rPr>
        <w:t xml:space="preserve">. </w:t>
      </w:r>
      <w:r w:rsidRPr="003A5BF1">
        <w:rPr>
          <w:rFonts w:asciiTheme="minorHAnsi" w:hAnsiTheme="minorHAnsi" w:cstheme="minorHAnsi"/>
          <w:b/>
          <w:bCs/>
          <w:iCs/>
        </w:rPr>
        <w:t>1,25</w:t>
      </w:r>
      <w:r w:rsidR="00D748D0" w:rsidRPr="003A5BF1">
        <w:rPr>
          <w:rFonts w:asciiTheme="minorHAnsi" w:hAnsiTheme="minorHAnsi" w:cstheme="minorHAnsi"/>
          <w:b/>
          <w:bCs/>
          <w:iCs/>
        </w:rPr>
        <w:t>0</w:t>
      </w:r>
      <w:r w:rsidR="00AB0468">
        <w:rPr>
          <w:rFonts w:asciiTheme="minorHAnsi" w:hAnsiTheme="minorHAnsi" w:cstheme="minorHAnsi"/>
          <w:b/>
          <w:bCs/>
          <w:iCs/>
        </w:rPr>
        <w:t>.00</w:t>
      </w:r>
      <w:r w:rsidR="00D748D0" w:rsidRPr="003A5BF1">
        <w:rPr>
          <w:rFonts w:asciiTheme="minorHAnsi" w:hAnsiTheme="minorHAnsi" w:cstheme="minorHAnsi"/>
          <w:b/>
          <w:bCs/>
          <w:iCs/>
        </w:rPr>
        <w:t xml:space="preserve"> + 18% GST</w:t>
      </w:r>
      <w:r w:rsidR="00AB0468">
        <w:rPr>
          <w:rFonts w:asciiTheme="minorHAnsi" w:hAnsiTheme="minorHAnsi" w:cstheme="minorHAnsi"/>
          <w:b/>
          <w:bCs/>
          <w:iCs/>
        </w:rPr>
        <w:t xml:space="preserve"> = </w:t>
      </w:r>
      <w:proofErr w:type="spellStart"/>
      <w:r w:rsidR="00AB0468">
        <w:rPr>
          <w:rFonts w:asciiTheme="minorHAnsi" w:hAnsiTheme="minorHAnsi" w:cstheme="minorHAnsi"/>
          <w:b/>
          <w:bCs/>
          <w:iCs/>
        </w:rPr>
        <w:t>Rs</w:t>
      </w:r>
      <w:proofErr w:type="spellEnd"/>
      <w:r w:rsidR="00AB0468">
        <w:rPr>
          <w:rFonts w:asciiTheme="minorHAnsi" w:hAnsiTheme="minorHAnsi" w:cstheme="minorHAnsi"/>
          <w:b/>
          <w:bCs/>
          <w:iCs/>
        </w:rPr>
        <w:t>. 1475.00</w:t>
      </w:r>
    </w:p>
    <w:p w14:paraId="5C9F4822" w14:textId="57A5AE0E" w:rsidR="00D74F18" w:rsidRDefault="00D74F18" w:rsidP="003A5BF1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  <w:r w:rsidRPr="003A5BF1">
        <w:rPr>
          <w:rFonts w:asciiTheme="minorHAnsi" w:hAnsiTheme="minorHAnsi" w:cstheme="minorHAnsi"/>
          <w:b/>
          <w:bCs/>
          <w:iCs/>
        </w:rPr>
        <w:t xml:space="preserve">Virtual webinar - </w:t>
      </w:r>
      <w:proofErr w:type="spellStart"/>
      <w:r w:rsidRPr="003A5BF1">
        <w:rPr>
          <w:rFonts w:asciiTheme="minorHAnsi" w:hAnsiTheme="minorHAnsi" w:cstheme="minorHAnsi"/>
          <w:b/>
          <w:bCs/>
          <w:iCs/>
        </w:rPr>
        <w:t>Rs</w:t>
      </w:r>
      <w:proofErr w:type="spellEnd"/>
      <w:r w:rsidRPr="003A5BF1">
        <w:rPr>
          <w:rFonts w:asciiTheme="minorHAnsi" w:hAnsiTheme="minorHAnsi" w:cstheme="minorHAnsi"/>
          <w:b/>
          <w:bCs/>
          <w:iCs/>
        </w:rPr>
        <w:t>. 750</w:t>
      </w:r>
      <w:r w:rsidR="00AB0468">
        <w:rPr>
          <w:rFonts w:asciiTheme="minorHAnsi" w:hAnsiTheme="minorHAnsi" w:cstheme="minorHAnsi"/>
          <w:b/>
          <w:bCs/>
          <w:iCs/>
        </w:rPr>
        <w:t>.00</w:t>
      </w:r>
      <w:r w:rsidRPr="003A5BF1">
        <w:rPr>
          <w:rFonts w:asciiTheme="minorHAnsi" w:hAnsiTheme="minorHAnsi" w:cstheme="minorHAnsi"/>
          <w:b/>
          <w:bCs/>
          <w:iCs/>
        </w:rPr>
        <w:t xml:space="preserve"> + 18% GST</w:t>
      </w:r>
      <w:r w:rsidR="00AB0468">
        <w:rPr>
          <w:rFonts w:asciiTheme="minorHAnsi" w:hAnsiTheme="minorHAnsi" w:cstheme="minorHAnsi"/>
          <w:b/>
          <w:bCs/>
          <w:iCs/>
        </w:rPr>
        <w:t xml:space="preserve"> = </w:t>
      </w:r>
      <w:proofErr w:type="spellStart"/>
      <w:r w:rsidR="00AB0468">
        <w:rPr>
          <w:rFonts w:asciiTheme="minorHAnsi" w:hAnsiTheme="minorHAnsi" w:cstheme="minorHAnsi"/>
          <w:b/>
          <w:bCs/>
          <w:iCs/>
        </w:rPr>
        <w:t>Rs</w:t>
      </w:r>
      <w:proofErr w:type="spellEnd"/>
      <w:r w:rsidR="00AB0468">
        <w:rPr>
          <w:rFonts w:asciiTheme="minorHAnsi" w:hAnsiTheme="minorHAnsi" w:cstheme="minorHAnsi"/>
          <w:b/>
          <w:bCs/>
          <w:iCs/>
        </w:rPr>
        <w:t>.</w:t>
      </w:r>
      <w:r w:rsidR="00717C31">
        <w:rPr>
          <w:rFonts w:asciiTheme="minorHAnsi" w:hAnsiTheme="minorHAnsi" w:cstheme="minorHAnsi"/>
          <w:b/>
          <w:bCs/>
          <w:iCs/>
        </w:rPr>
        <w:t xml:space="preserve"> 885.00</w:t>
      </w:r>
    </w:p>
    <w:p w14:paraId="206B0D88" w14:textId="77777777" w:rsidR="003A5BF1" w:rsidRPr="003A5BF1" w:rsidRDefault="003A5BF1" w:rsidP="003A5BF1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p w14:paraId="58C45FFA" w14:textId="77777777" w:rsidR="00717C31" w:rsidRDefault="00717C31" w:rsidP="00EA0286">
      <w:pPr>
        <w:spacing w:after="0" w:line="240" w:lineRule="auto"/>
        <w:rPr>
          <w:rFonts w:asciiTheme="minorHAnsi" w:hAnsiTheme="minorHAnsi" w:cstheme="minorHAnsi"/>
          <w:iCs/>
          <w:sz w:val="23"/>
          <w:szCs w:val="23"/>
        </w:rPr>
      </w:pPr>
      <w:r>
        <w:rPr>
          <w:rFonts w:asciiTheme="minorHAnsi" w:hAnsiTheme="minorHAnsi" w:cstheme="minorHAnsi"/>
          <w:iCs/>
          <w:sz w:val="23"/>
          <w:szCs w:val="23"/>
        </w:rPr>
        <w:t>You may register and make payment online at the following link:</w:t>
      </w:r>
    </w:p>
    <w:p w14:paraId="73415D7C" w14:textId="77777777" w:rsidR="00717C31" w:rsidRDefault="00717C31" w:rsidP="00EA0286">
      <w:pPr>
        <w:spacing w:after="0" w:line="240" w:lineRule="auto"/>
        <w:rPr>
          <w:rStyle w:val="Hyperlink"/>
          <w:rFonts w:asciiTheme="minorHAnsi" w:hAnsiTheme="minorHAnsi" w:cstheme="minorHAnsi"/>
          <w:iCs/>
          <w:sz w:val="23"/>
          <w:szCs w:val="23"/>
        </w:rPr>
      </w:pPr>
    </w:p>
    <w:p w14:paraId="208FFDD8" w14:textId="01D5699D" w:rsidR="00EA0286" w:rsidRPr="002601C5" w:rsidRDefault="00EA0286" w:rsidP="00EA0286">
      <w:pPr>
        <w:spacing w:after="0" w:line="240" w:lineRule="auto"/>
        <w:rPr>
          <w:rFonts w:asciiTheme="minorHAnsi" w:hAnsiTheme="minorHAnsi" w:cstheme="minorHAnsi"/>
          <w:iCs/>
          <w:sz w:val="23"/>
          <w:szCs w:val="23"/>
        </w:rPr>
      </w:pPr>
      <w:r w:rsidRPr="00607D5B">
        <w:rPr>
          <w:rStyle w:val="Hyperlink"/>
          <w:rFonts w:asciiTheme="minorHAnsi" w:hAnsiTheme="minorHAnsi" w:cstheme="minorHAnsi"/>
          <w:iCs/>
          <w:sz w:val="23"/>
          <w:szCs w:val="23"/>
        </w:rPr>
        <w:t>ht</w:t>
      </w:r>
      <w:r>
        <w:rPr>
          <w:rStyle w:val="Hyperlink"/>
          <w:rFonts w:asciiTheme="minorHAnsi" w:hAnsiTheme="minorHAnsi" w:cstheme="minorHAnsi"/>
          <w:iCs/>
          <w:sz w:val="23"/>
          <w:szCs w:val="23"/>
        </w:rPr>
        <w:t>tps://www.imcnet.org/events-1638</w:t>
      </w:r>
      <w:r w:rsidRPr="002601C5">
        <w:rPr>
          <w:rFonts w:asciiTheme="minorHAnsi" w:hAnsiTheme="minorHAnsi" w:cstheme="minorHAnsi"/>
          <w:iCs/>
          <w:sz w:val="23"/>
          <w:szCs w:val="23"/>
        </w:rPr>
        <w:t xml:space="preserve"> </w:t>
      </w:r>
    </w:p>
    <w:p w14:paraId="4F0A019D" w14:textId="77777777" w:rsidR="00EA0286" w:rsidRPr="002601C5" w:rsidRDefault="00EA0286" w:rsidP="00EA0286">
      <w:pPr>
        <w:spacing w:after="0" w:line="240" w:lineRule="auto"/>
        <w:rPr>
          <w:rFonts w:asciiTheme="minorHAnsi" w:hAnsiTheme="minorHAnsi" w:cstheme="minorHAnsi"/>
          <w:iCs/>
          <w:sz w:val="23"/>
          <w:szCs w:val="23"/>
        </w:rPr>
      </w:pPr>
    </w:p>
    <w:p w14:paraId="15037FEA" w14:textId="77777777" w:rsidR="00717C31" w:rsidRDefault="00EA0286" w:rsidP="00EA0286">
      <w:pPr>
        <w:spacing w:after="0"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  <w:r w:rsidRPr="002601C5">
        <w:rPr>
          <w:rFonts w:asciiTheme="minorHAnsi" w:hAnsiTheme="minorHAnsi" w:cstheme="minorHAnsi"/>
          <w:iCs/>
          <w:sz w:val="23"/>
          <w:szCs w:val="23"/>
        </w:rPr>
        <w:t xml:space="preserve">Please register your participation at the earliest. If you have </w:t>
      </w:r>
      <w:r w:rsidR="00717C31">
        <w:rPr>
          <w:rFonts w:asciiTheme="minorHAnsi" w:hAnsiTheme="minorHAnsi" w:cstheme="minorHAnsi"/>
          <w:iCs/>
          <w:sz w:val="23"/>
          <w:szCs w:val="23"/>
        </w:rPr>
        <w:t xml:space="preserve">opted to attend online, the Zoom joining link will be shared closer to the event.  </w:t>
      </w:r>
    </w:p>
    <w:p w14:paraId="6B4C4C9A" w14:textId="77777777" w:rsidR="00717C31" w:rsidRDefault="00717C31" w:rsidP="00EA0286">
      <w:pPr>
        <w:spacing w:after="0"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</w:p>
    <w:p w14:paraId="4DECBC13" w14:textId="424EFCFD" w:rsidR="00EA0286" w:rsidRPr="002601C5" w:rsidRDefault="00717C31" w:rsidP="00EA0286">
      <w:pPr>
        <w:spacing w:after="0"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  <w:r>
        <w:rPr>
          <w:rFonts w:asciiTheme="minorHAnsi" w:hAnsiTheme="minorHAnsi" w:cstheme="minorHAnsi"/>
          <w:iCs/>
          <w:sz w:val="23"/>
          <w:szCs w:val="23"/>
        </w:rPr>
        <w:t xml:space="preserve">For </w:t>
      </w:r>
      <w:r w:rsidR="00EA0286" w:rsidRPr="002601C5">
        <w:rPr>
          <w:rFonts w:asciiTheme="minorHAnsi" w:hAnsiTheme="minorHAnsi" w:cstheme="minorHAnsi"/>
          <w:iCs/>
          <w:sz w:val="23"/>
          <w:szCs w:val="23"/>
        </w:rPr>
        <w:t xml:space="preserve">any query regarding this event, please write to </w:t>
      </w:r>
      <w:hyperlink r:id="rId6" w:history="1">
        <w:r w:rsidR="00EA0286" w:rsidRPr="002601C5">
          <w:rPr>
            <w:rStyle w:val="Hyperlink"/>
            <w:rFonts w:asciiTheme="minorHAnsi" w:hAnsiTheme="minorHAnsi" w:cstheme="minorHAnsi"/>
            <w:iCs/>
            <w:sz w:val="23"/>
            <w:szCs w:val="23"/>
          </w:rPr>
          <w:t>upendra@imcnet.org</w:t>
        </w:r>
      </w:hyperlink>
      <w:r w:rsidR="00EA0286" w:rsidRPr="002601C5">
        <w:rPr>
          <w:rFonts w:asciiTheme="minorHAnsi" w:hAnsiTheme="minorHAnsi" w:cstheme="minorHAnsi"/>
          <w:iCs/>
          <w:sz w:val="23"/>
          <w:szCs w:val="23"/>
        </w:rPr>
        <w:t xml:space="preserve">  / </w:t>
      </w:r>
      <w:hyperlink r:id="rId7" w:history="1">
        <w:r w:rsidR="00EA0286" w:rsidRPr="002601C5">
          <w:rPr>
            <w:rStyle w:val="Hyperlink"/>
            <w:rFonts w:asciiTheme="minorHAnsi" w:hAnsiTheme="minorHAnsi" w:cstheme="minorHAnsi"/>
            <w:iCs/>
            <w:sz w:val="23"/>
            <w:szCs w:val="23"/>
          </w:rPr>
          <w:t>lucy.thomas@imcnet.org</w:t>
        </w:r>
      </w:hyperlink>
      <w:r w:rsidR="00EA0286" w:rsidRPr="002601C5">
        <w:rPr>
          <w:rFonts w:asciiTheme="minorHAnsi" w:hAnsiTheme="minorHAnsi" w:cstheme="minorHAnsi"/>
          <w:iCs/>
          <w:sz w:val="23"/>
          <w:szCs w:val="23"/>
        </w:rPr>
        <w:t xml:space="preserve">  or contact at 022-71226704.</w:t>
      </w:r>
    </w:p>
    <w:p w14:paraId="0DF80F27" w14:textId="77777777" w:rsidR="00EA0286" w:rsidRPr="002601C5" w:rsidRDefault="00EA0286" w:rsidP="00EA0286">
      <w:pPr>
        <w:spacing w:after="0" w:line="240" w:lineRule="auto"/>
        <w:jc w:val="both"/>
        <w:rPr>
          <w:rFonts w:asciiTheme="minorHAnsi" w:hAnsiTheme="minorHAnsi" w:cstheme="minorHAnsi"/>
          <w:iCs/>
          <w:sz w:val="23"/>
          <w:szCs w:val="23"/>
        </w:rPr>
      </w:pPr>
    </w:p>
    <w:p w14:paraId="006A1461" w14:textId="5462EA70" w:rsidR="00EA0286" w:rsidRPr="002601C5" w:rsidRDefault="00717C31" w:rsidP="00EA0286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Regards,</w:t>
      </w:r>
    </w:p>
    <w:p w14:paraId="009C6C1D" w14:textId="77777777" w:rsidR="00EA0286" w:rsidRDefault="00EA0286" w:rsidP="00EA0286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3F5EB492" w14:textId="77777777" w:rsidR="00EA0286" w:rsidRPr="002601C5" w:rsidRDefault="00EA0286" w:rsidP="00EA0286">
      <w:pPr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0BEC41B9" w14:textId="77777777" w:rsidR="00EA0286" w:rsidRPr="002601C5" w:rsidRDefault="00EA0286" w:rsidP="00EA0286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 w:rsidRPr="002601C5">
        <w:rPr>
          <w:rFonts w:asciiTheme="minorHAnsi" w:hAnsiTheme="minorHAnsi" w:cstheme="minorHAnsi"/>
          <w:b/>
          <w:sz w:val="23"/>
          <w:szCs w:val="23"/>
        </w:rPr>
        <w:t>Ajit Mangrulkar</w:t>
      </w:r>
    </w:p>
    <w:p w14:paraId="01A20321" w14:textId="77777777" w:rsidR="00EA0286" w:rsidRPr="002601C5" w:rsidRDefault="00EA0286" w:rsidP="00EA0286">
      <w:pPr>
        <w:spacing w:after="0" w:line="240" w:lineRule="auto"/>
        <w:rPr>
          <w:rFonts w:asciiTheme="minorHAnsi" w:hAnsiTheme="minorHAnsi" w:cstheme="minorHAnsi"/>
          <w:b/>
          <w:sz w:val="23"/>
          <w:szCs w:val="23"/>
        </w:rPr>
      </w:pPr>
      <w:r w:rsidRPr="002601C5">
        <w:rPr>
          <w:rFonts w:asciiTheme="minorHAnsi" w:hAnsiTheme="minorHAnsi" w:cstheme="minorHAnsi"/>
          <w:b/>
          <w:sz w:val="23"/>
          <w:szCs w:val="23"/>
        </w:rPr>
        <w:t>Director General-IMC</w:t>
      </w:r>
    </w:p>
    <w:p w14:paraId="139C918E" w14:textId="77777777" w:rsidR="003A5BF1" w:rsidRPr="003A5BF1" w:rsidRDefault="003A5BF1" w:rsidP="003A5BF1">
      <w:pPr>
        <w:spacing w:after="0" w:line="240" w:lineRule="auto"/>
        <w:rPr>
          <w:rFonts w:asciiTheme="minorHAnsi" w:hAnsiTheme="minorHAnsi" w:cstheme="minorHAnsi"/>
          <w:b/>
          <w:bCs/>
          <w:iCs/>
        </w:rPr>
      </w:pPr>
    </w:p>
    <w:sectPr w:rsidR="003A5BF1" w:rsidRPr="003A5BF1">
      <w:pgSz w:w="11906" w:h="16838"/>
      <w:pgMar w:top="709" w:right="424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12BC"/>
    <w:multiLevelType w:val="multilevel"/>
    <w:tmpl w:val="C4E40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B9E0F30"/>
    <w:multiLevelType w:val="multilevel"/>
    <w:tmpl w:val="99003C6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810279C"/>
    <w:multiLevelType w:val="multilevel"/>
    <w:tmpl w:val="9EEA23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00"/>
    <w:rsid w:val="00017A83"/>
    <w:rsid w:val="000258A5"/>
    <w:rsid w:val="00133AC0"/>
    <w:rsid w:val="001B5A09"/>
    <w:rsid w:val="00213151"/>
    <w:rsid w:val="00294338"/>
    <w:rsid w:val="003A5BF1"/>
    <w:rsid w:val="00444C07"/>
    <w:rsid w:val="00457066"/>
    <w:rsid w:val="00484000"/>
    <w:rsid w:val="004C26AD"/>
    <w:rsid w:val="00500953"/>
    <w:rsid w:val="00572F9B"/>
    <w:rsid w:val="00584250"/>
    <w:rsid w:val="005C29DA"/>
    <w:rsid w:val="00605A00"/>
    <w:rsid w:val="006F3EEF"/>
    <w:rsid w:val="00717C31"/>
    <w:rsid w:val="007B4E6A"/>
    <w:rsid w:val="007D0026"/>
    <w:rsid w:val="00825F99"/>
    <w:rsid w:val="00842517"/>
    <w:rsid w:val="0084582D"/>
    <w:rsid w:val="00947F83"/>
    <w:rsid w:val="00976BCF"/>
    <w:rsid w:val="00A003C0"/>
    <w:rsid w:val="00A01545"/>
    <w:rsid w:val="00A84042"/>
    <w:rsid w:val="00AB0468"/>
    <w:rsid w:val="00B254E8"/>
    <w:rsid w:val="00C57ED5"/>
    <w:rsid w:val="00D41A79"/>
    <w:rsid w:val="00D748D0"/>
    <w:rsid w:val="00D74F18"/>
    <w:rsid w:val="00DD22CA"/>
    <w:rsid w:val="00DE1C18"/>
    <w:rsid w:val="00E51C3B"/>
    <w:rsid w:val="00E57F15"/>
    <w:rsid w:val="00EA0286"/>
    <w:rsid w:val="00EE451D"/>
    <w:rsid w:val="00F0264B"/>
    <w:rsid w:val="00F3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BD0B"/>
  <w15:docId w15:val="{A8844DE0-E74C-4744-9549-5E5022E2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Book Antiqua" w:hAnsi="Book Antiqua" w:cs="Book Antiqua"/>
        <w:sz w:val="24"/>
        <w:szCs w:val="24"/>
        <w:lang w:val="en-IN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B3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E23"/>
    <w:pPr>
      <w:spacing w:line="25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C57ED5"/>
    <w:rPr>
      <w:b/>
      <w:bCs/>
    </w:rPr>
  </w:style>
  <w:style w:type="character" w:styleId="Hyperlink">
    <w:name w:val="Hyperlink"/>
    <w:basedOn w:val="DefaultParagraphFont"/>
    <w:uiPriority w:val="99"/>
    <w:unhideWhenUsed/>
    <w:rsid w:val="00D748D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48D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842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2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2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2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cy.thomas@imcne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pendra@imcne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8Iq4kX1Z0iVySvf/Anyws2EYA==">AMUW2mWasGMzvaGPH1Bh/5frn8x2/7zoogxTw9cBwQhtJH2ZgYQEhOy/b+y993qVccndI7UJs/RCAvmS8p0C4zUJQQQI/egWZ7W9SIXR9RXMaJ03rXJuXio=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Rutvik Sanghvi</dc:creator>
  <cp:lastModifiedBy>Lucy Thomas</cp:lastModifiedBy>
  <cp:revision>4</cp:revision>
  <cp:lastPrinted>2021-03-12T12:56:00Z</cp:lastPrinted>
  <dcterms:created xsi:type="dcterms:W3CDTF">2022-04-19T04:12:00Z</dcterms:created>
  <dcterms:modified xsi:type="dcterms:W3CDTF">2022-04-19T04:18:00Z</dcterms:modified>
</cp:coreProperties>
</file>